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990" w:rsidRDefault="001C4990" w:rsidP="001C4990">
      <w:pPr>
        <w:spacing w:line="460" w:lineRule="exact"/>
        <w:jc w:val="left"/>
        <w:rPr>
          <w:rFonts w:eastAsiaTheme="majorEastAsia"/>
          <w:b/>
          <w:sz w:val="22"/>
        </w:rPr>
      </w:pPr>
      <w:r>
        <w:rPr>
          <w:rFonts w:eastAsiaTheme="majorEastAsia"/>
          <w:b/>
          <w:sz w:val="22"/>
        </w:rPr>
        <w:t>附件</w:t>
      </w:r>
      <w:r>
        <w:rPr>
          <w:rFonts w:eastAsiaTheme="majorEastAsia" w:hint="eastAsia"/>
          <w:b/>
          <w:sz w:val="22"/>
        </w:rPr>
        <w:t>1</w:t>
      </w:r>
      <w:r>
        <w:rPr>
          <w:rFonts w:eastAsiaTheme="majorEastAsia"/>
          <w:b/>
          <w:sz w:val="22"/>
        </w:rPr>
        <w:t>：</w:t>
      </w:r>
    </w:p>
    <w:p w:rsidR="001C4990" w:rsidRDefault="001C4990" w:rsidP="001C4990">
      <w:pPr>
        <w:spacing w:line="460" w:lineRule="exact"/>
        <w:jc w:val="center"/>
        <w:rPr>
          <w:rFonts w:eastAsiaTheme="majorEastAsia" w:hint="eastAsia"/>
          <w:b/>
          <w:sz w:val="36"/>
        </w:rPr>
      </w:pPr>
      <w:bookmarkStart w:id="0" w:name="_GoBack"/>
      <w:r>
        <w:rPr>
          <w:rFonts w:eastAsiaTheme="majorEastAsia"/>
          <w:b/>
          <w:sz w:val="36"/>
        </w:rPr>
        <w:t>第二届化工安全复合型人才高级研修班</w:t>
      </w:r>
    </w:p>
    <w:p w:rsidR="001C4990" w:rsidRDefault="001C4990" w:rsidP="001C4990">
      <w:pPr>
        <w:spacing w:line="460" w:lineRule="exact"/>
        <w:jc w:val="center"/>
        <w:rPr>
          <w:rFonts w:eastAsiaTheme="majorEastAsia"/>
          <w:b/>
          <w:sz w:val="36"/>
        </w:rPr>
      </w:pPr>
      <w:r>
        <w:rPr>
          <w:rFonts w:eastAsiaTheme="majorEastAsia"/>
          <w:b/>
          <w:sz w:val="36"/>
        </w:rPr>
        <w:t>培养工作方案</w:t>
      </w:r>
    </w:p>
    <w:bookmarkEnd w:id="0"/>
    <w:p w:rsidR="001C4990" w:rsidRDefault="001C4990" w:rsidP="001C4990">
      <w:pPr>
        <w:pStyle w:val="1"/>
        <w:numPr>
          <w:ilvl w:val="0"/>
          <w:numId w:val="1"/>
        </w:numPr>
        <w:spacing w:beforeLines="50" w:before="156" w:line="360" w:lineRule="auto"/>
        <w:ind w:left="0" w:firstLine="562"/>
        <w:jc w:val="left"/>
        <w:rPr>
          <w:rFonts w:eastAsiaTheme="minorEastAsia"/>
          <w:b/>
          <w:sz w:val="28"/>
        </w:rPr>
      </w:pPr>
      <w:r>
        <w:rPr>
          <w:rFonts w:eastAsiaTheme="minorEastAsia"/>
          <w:b/>
          <w:sz w:val="28"/>
        </w:rPr>
        <w:t>研修班学员培养</w:t>
      </w:r>
    </w:p>
    <w:p w:rsidR="001C4990" w:rsidRDefault="001C4990" w:rsidP="001C4990">
      <w:pPr>
        <w:spacing w:line="360" w:lineRule="auto"/>
        <w:ind w:firstLineChars="200" w:firstLine="482"/>
        <w:jc w:val="left"/>
        <w:rPr>
          <w:rFonts w:eastAsiaTheme="minorEastAsia"/>
          <w:b/>
          <w:sz w:val="24"/>
        </w:rPr>
      </w:pPr>
      <w:r>
        <w:rPr>
          <w:rFonts w:eastAsiaTheme="minorEastAsia"/>
          <w:b/>
          <w:sz w:val="24"/>
        </w:rPr>
        <w:t>（一）培养年限及其他要求</w:t>
      </w:r>
    </w:p>
    <w:p w:rsidR="001C4990" w:rsidRDefault="001C4990" w:rsidP="001C4990">
      <w:pPr>
        <w:spacing w:line="360" w:lineRule="auto"/>
        <w:ind w:firstLineChars="200" w:firstLine="480"/>
        <w:rPr>
          <w:rFonts w:eastAsiaTheme="minorEastAsia"/>
          <w:sz w:val="24"/>
        </w:rPr>
      </w:pPr>
      <w:r>
        <w:rPr>
          <w:rFonts w:eastAsiaTheme="minorEastAsia"/>
          <w:sz w:val="24"/>
        </w:rPr>
        <w:t>基本学习年限为</w:t>
      </w:r>
      <w:r>
        <w:rPr>
          <w:rFonts w:eastAsiaTheme="minorEastAsia"/>
          <w:sz w:val="24"/>
        </w:rPr>
        <w:t>2</w:t>
      </w:r>
      <w:r>
        <w:rPr>
          <w:rFonts w:eastAsiaTheme="minorEastAsia"/>
          <w:sz w:val="24"/>
        </w:rPr>
        <w:t>年，其中第一年为脱产学习（脱产学习共分为六个阶段，每个时间段为</w:t>
      </w:r>
      <w:r>
        <w:rPr>
          <w:rFonts w:eastAsiaTheme="minorEastAsia"/>
          <w:sz w:val="24"/>
        </w:rPr>
        <w:t>2</w:t>
      </w:r>
      <w:r>
        <w:rPr>
          <w:rFonts w:eastAsiaTheme="minorEastAsia"/>
          <w:sz w:val="24"/>
        </w:rPr>
        <w:t>周左右），总学分最低修满</w:t>
      </w:r>
      <w:r>
        <w:rPr>
          <w:rFonts w:eastAsiaTheme="minorEastAsia"/>
          <w:sz w:val="24"/>
        </w:rPr>
        <w:t>28</w:t>
      </w:r>
      <w:r>
        <w:rPr>
          <w:rFonts w:eastAsiaTheme="minorEastAsia"/>
          <w:sz w:val="24"/>
        </w:rPr>
        <w:t>学分。第二年在企业进行生产实践并完成科学研究毕业论文。生产实践要尽量针对所在企业的安全现状和问题，提出能够解决实际问题的方案。</w:t>
      </w:r>
    </w:p>
    <w:p w:rsidR="001C4990" w:rsidRDefault="001C4990" w:rsidP="001C4990">
      <w:pPr>
        <w:spacing w:line="360" w:lineRule="auto"/>
        <w:ind w:firstLineChars="200" w:firstLine="480"/>
        <w:rPr>
          <w:rFonts w:eastAsiaTheme="minorEastAsia"/>
          <w:sz w:val="24"/>
        </w:rPr>
      </w:pPr>
      <w:r>
        <w:rPr>
          <w:rFonts w:eastAsiaTheme="minorEastAsia"/>
          <w:sz w:val="24"/>
        </w:rPr>
        <w:t>在高级研修班学员培养过程中，考虑人才培养与行业职业资格认证的衔接，课程的设置及相关培养计划同步满足相关职（执）业资格要求。</w:t>
      </w:r>
    </w:p>
    <w:p w:rsidR="001C4990" w:rsidRDefault="001C4990" w:rsidP="001C4990">
      <w:pPr>
        <w:spacing w:line="360" w:lineRule="auto"/>
        <w:ind w:firstLineChars="200" w:firstLine="480"/>
        <w:rPr>
          <w:rFonts w:eastAsiaTheme="minorEastAsia"/>
          <w:sz w:val="24"/>
        </w:rPr>
      </w:pPr>
      <w:r>
        <w:rPr>
          <w:rFonts w:eastAsiaTheme="minorEastAsia"/>
          <w:sz w:val="24"/>
        </w:rPr>
        <w:t>高级研修班学员培养过程为双导师负责制，一名为校内导师，一名为校外导师，校内导师一般由校内具有硕士生导师资格的专职教师担任，校外导师根据论文方向需要由大型化工企业、科研院所、行业管理部门等具有丰富的技术实践或管理经验的专家担任。部分关键课程的考核，由国家安全监管总局组织考核。</w:t>
      </w:r>
    </w:p>
    <w:p w:rsidR="001C4990" w:rsidRDefault="001C4990" w:rsidP="001C4990">
      <w:pPr>
        <w:spacing w:line="360" w:lineRule="auto"/>
        <w:ind w:firstLineChars="200" w:firstLine="480"/>
        <w:rPr>
          <w:rFonts w:eastAsiaTheme="minorEastAsia"/>
          <w:sz w:val="24"/>
        </w:rPr>
      </w:pPr>
      <w:r>
        <w:rPr>
          <w:rFonts w:eastAsiaTheme="minorEastAsia"/>
          <w:sz w:val="24"/>
        </w:rPr>
        <w:t>高级研修班学员培养过程中要求在企业进行</w:t>
      </w:r>
      <w:r>
        <w:rPr>
          <w:rFonts w:eastAsiaTheme="minorEastAsia"/>
          <w:sz w:val="24"/>
        </w:rPr>
        <w:t>1</w:t>
      </w:r>
      <w:r>
        <w:rPr>
          <w:rFonts w:eastAsiaTheme="minorEastAsia"/>
          <w:sz w:val="24"/>
        </w:rPr>
        <w:t>年生产实践。国家安全监管总局将安排部分企业作为生产实践企业，研修班学员分组赴各企业进行生产实践。在生产实践期间，各个组定期返校总结分享现场工作经验，改进和完善下一步工作计划，使学员做到理论和生产实践相结合。生产实践环节结束后，学员进行毕业论文撰写和准备答辩。毕业论文撰写和答辩具体要求按照学校相关文件执行。</w:t>
      </w:r>
    </w:p>
    <w:p w:rsidR="001C4990" w:rsidRDefault="001C4990" w:rsidP="001C4990">
      <w:pPr>
        <w:spacing w:line="360" w:lineRule="auto"/>
        <w:ind w:firstLineChars="200" w:firstLine="482"/>
        <w:rPr>
          <w:rFonts w:eastAsiaTheme="minorEastAsia"/>
          <w:b/>
          <w:sz w:val="24"/>
        </w:rPr>
      </w:pPr>
      <w:r>
        <w:rPr>
          <w:rFonts w:eastAsiaTheme="minorEastAsia"/>
          <w:b/>
          <w:sz w:val="24"/>
        </w:rPr>
        <w:t>（二）培养模式</w:t>
      </w:r>
    </w:p>
    <w:p w:rsidR="001C4990" w:rsidRDefault="001C4990" w:rsidP="001C4990">
      <w:pPr>
        <w:spacing w:line="360" w:lineRule="auto"/>
        <w:ind w:firstLineChars="200" w:firstLine="480"/>
        <w:rPr>
          <w:rFonts w:eastAsiaTheme="minorEastAsia"/>
          <w:sz w:val="24"/>
        </w:rPr>
      </w:pPr>
      <w:r>
        <w:rPr>
          <w:rFonts w:eastAsiaTheme="minorEastAsia"/>
          <w:sz w:val="24"/>
        </w:rPr>
        <w:t>培养过程借鉴首届化工安全复合型人才高级研修班的培养经验，充分发挥</w:t>
      </w:r>
      <w:r>
        <w:rPr>
          <w:rFonts w:eastAsiaTheme="minorEastAsia"/>
          <w:sz w:val="24"/>
        </w:rPr>
        <w:t>“</w:t>
      </w:r>
      <w:r>
        <w:rPr>
          <w:rFonts w:eastAsiaTheme="minorEastAsia"/>
          <w:sz w:val="24"/>
        </w:rPr>
        <w:t>理论学习不断线、经验分享不断线、工程实践不断线</w:t>
      </w:r>
      <w:r>
        <w:rPr>
          <w:rFonts w:eastAsiaTheme="minorEastAsia"/>
          <w:sz w:val="24"/>
        </w:rPr>
        <w:t>”</w:t>
      </w:r>
      <w:r>
        <w:rPr>
          <w:rFonts w:eastAsiaTheme="minorEastAsia"/>
          <w:sz w:val="24"/>
        </w:rPr>
        <w:t>的</w:t>
      </w:r>
      <w:r>
        <w:rPr>
          <w:rFonts w:eastAsiaTheme="minorEastAsia"/>
          <w:sz w:val="24"/>
        </w:rPr>
        <w:t>“</w:t>
      </w:r>
      <w:r>
        <w:rPr>
          <w:rFonts w:eastAsiaTheme="minorEastAsia"/>
          <w:sz w:val="24"/>
        </w:rPr>
        <w:t>三个不断线</w:t>
      </w:r>
      <w:r>
        <w:rPr>
          <w:rFonts w:eastAsiaTheme="minorEastAsia"/>
          <w:sz w:val="24"/>
        </w:rPr>
        <w:t>”</w:t>
      </w:r>
      <w:r>
        <w:rPr>
          <w:rFonts w:eastAsiaTheme="minorEastAsia"/>
          <w:sz w:val="24"/>
        </w:rPr>
        <w:t>培养方式，同时结合国内重点化工大学和国外化工名校在化工安全教育方面的经验，突出化工和安全的无缝衔接，加强安全仪表知识基础，重在培养研究生的应用及创新意识、工程实践能力和管理水平。</w:t>
      </w:r>
    </w:p>
    <w:p w:rsidR="001C4990" w:rsidRDefault="001C4990" w:rsidP="001C4990">
      <w:pPr>
        <w:spacing w:line="360" w:lineRule="auto"/>
        <w:ind w:firstLineChars="200" w:firstLine="480"/>
        <w:rPr>
          <w:rFonts w:eastAsiaTheme="minorEastAsia"/>
          <w:sz w:val="24"/>
        </w:rPr>
      </w:pPr>
      <w:r>
        <w:rPr>
          <w:rFonts w:eastAsiaTheme="minorEastAsia"/>
          <w:sz w:val="24"/>
        </w:rPr>
        <w:t>专业授课老师在依托高校专业教师主讲的同时，由国家安全监管总局协调组织国内知名高校、化工企业和设计院的行业专家，对一些涉及重点领域的关键性课程进行讲授或辅助性教学。授课过程充分借鉴国内外人才培养的经验，注重将</w:t>
      </w:r>
      <w:r>
        <w:rPr>
          <w:rFonts w:eastAsiaTheme="minorEastAsia"/>
          <w:sz w:val="24"/>
        </w:rPr>
        <w:lastRenderedPageBreak/>
        <w:t>先进的授课模式引进到课堂中，如案例教学、实践教学、翻转课堂、移动课堂等，充分保证培养目标和教学效果的实现。</w:t>
      </w:r>
    </w:p>
    <w:p w:rsidR="001C4990" w:rsidRDefault="001C4990" w:rsidP="001C4990">
      <w:pPr>
        <w:spacing w:line="360" w:lineRule="auto"/>
        <w:ind w:firstLineChars="200" w:firstLine="480"/>
        <w:rPr>
          <w:rFonts w:eastAsiaTheme="minorEastAsia"/>
          <w:b/>
          <w:sz w:val="24"/>
        </w:rPr>
      </w:pPr>
      <w:r>
        <w:rPr>
          <w:rFonts w:eastAsiaTheme="minorEastAsia"/>
          <w:sz w:val="24"/>
        </w:rPr>
        <w:t>（三）</w:t>
      </w:r>
      <w:r>
        <w:rPr>
          <w:rFonts w:eastAsiaTheme="minorEastAsia"/>
          <w:b/>
          <w:sz w:val="24"/>
        </w:rPr>
        <w:t>课程设置及其他要求</w:t>
      </w:r>
    </w:p>
    <w:p w:rsidR="001C4990" w:rsidRDefault="001C4990" w:rsidP="001C4990">
      <w:pPr>
        <w:spacing w:line="360" w:lineRule="auto"/>
        <w:ind w:firstLineChars="200" w:firstLine="480"/>
        <w:rPr>
          <w:rFonts w:eastAsiaTheme="minorEastAsia"/>
          <w:sz w:val="24"/>
        </w:rPr>
      </w:pPr>
      <w:r>
        <w:rPr>
          <w:rFonts w:eastAsiaTheme="minorEastAsia"/>
          <w:sz w:val="24"/>
        </w:rPr>
        <w:t>在培养期内，设置</w:t>
      </w:r>
      <w:r>
        <w:rPr>
          <w:rFonts w:eastAsiaTheme="minorEastAsia" w:hint="eastAsia"/>
          <w:sz w:val="24"/>
        </w:rPr>
        <w:t>20</w:t>
      </w:r>
      <w:r>
        <w:rPr>
          <w:rFonts w:eastAsiaTheme="minorEastAsia"/>
          <w:sz w:val="24"/>
        </w:rPr>
        <w:t>门核心专业课程（见表</w:t>
      </w:r>
      <w:r>
        <w:rPr>
          <w:rFonts w:eastAsiaTheme="minorEastAsia"/>
          <w:sz w:val="24"/>
        </w:rPr>
        <w:t>1</w:t>
      </w:r>
      <w:r>
        <w:rPr>
          <w:rFonts w:eastAsiaTheme="minorEastAsia"/>
          <w:sz w:val="24"/>
        </w:rPr>
        <w:t>）。</w:t>
      </w:r>
    </w:p>
    <w:tbl>
      <w:tblPr>
        <w:tblStyle w:val="a5"/>
        <w:tblW w:w="7905" w:type="dxa"/>
        <w:jc w:val="center"/>
        <w:tblLayout w:type="fixed"/>
        <w:tblLook w:val="04A0" w:firstRow="1" w:lastRow="0" w:firstColumn="1" w:lastColumn="0" w:noHBand="0" w:noVBand="1"/>
      </w:tblPr>
      <w:tblGrid>
        <w:gridCol w:w="5920"/>
        <w:gridCol w:w="1134"/>
        <w:gridCol w:w="851"/>
      </w:tblGrid>
      <w:tr w:rsidR="001C4990" w:rsidTr="00380548">
        <w:trPr>
          <w:jc w:val="center"/>
        </w:trPr>
        <w:tc>
          <w:tcPr>
            <w:tcW w:w="5920" w:type="dxa"/>
          </w:tcPr>
          <w:p w:rsidR="001C4990" w:rsidRDefault="001C4990" w:rsidP="00380548">
            <w:pPr>
              <w:spacing w:line="360" w:lineRule="auto"/>
              <w:rPr>
                <w:rFonts w:eastAsiaTheme="minorEastAsia"/>
                <w:sz w:val="24"/>
              </w:rPr>
            </w:pPr>
            <w:r>
              <w:rPr>
                <w:rFonts w:eastAsiaTheme="minorEastAsia"/>
                <w:sz w:val="24"/>
              </w:rPr>
              <w:t>课程名称</w:t>
            </w:r>
          </w:p>
        </w:tc>
        <w:tc>
          <w:tcPr>
            <w:tcW w:w="1134" w:type="dxa"/>
          </w:tcPr>
          <w:p w:rsidR="001C4990" w:rsidRDefault="001C4990" w:rsidP="00380548">
            <w:pPr>
              <w:spacing w:line="360" w:lineRule="auto"/>
              <w:rPr>
                <w:rFonts w:eastAsiaTheme="minorEastAsia"/>
                <w:sz w:val="24"/>
              </w:rPr>
            </w:pPr>
            <w:r>
              <w:rPr>
                <w:rFonts w:eastAsiaTheme="minorEastAsia"/>
                <w:sz w:val="24"/>
              </w:rPr>
              <w:t>学时</w:t>
            </w:r>
          </w:p>
        </w:tc>
        <w:tc>
          <w:tcPr>
            <w:tcW w:w="851" w:type="dxa"/>
          </w:tcPr>
          <w:p w:rsidR="001C4990" w:rsidRDefault="001C4990" w:rsidP="00380548">
            <w:pPr>
              <w:spacing w:line="360" w:lineRule="auto"/>
              <w:rPr>
                <w:rFonts w:eastAsiaTheme="minorEastAsia"/>
                <w:sz w:val="24"/>
              </w:rPr>
            </w:pPr>
            <w:r>
              <w:rPr>
                <w:rFonts w:eastAsiaTheme="minorEastAsia"/>
                <w:sz w:val="24"/>
              </w:rPr>
              <w:t>学分</w:t>
            </w:r>
          </w:p>
        </w:tc>
      </w:tr>
      <w:tr w:rsidR="001C4990" w:rsidTr="00380548">
        <w:trPr>
          <w:jc w:val="center"/>
        </w:trPr>
        <w:tc>
          <w:tcPr>
            <w:tcW w:w="5920" w:type="dxa"/>
          </w:tcPr>
          <w:p w:rsidR="001C4990" w:rsidRDefault="001C4990" w:rsidP="00380548">
            <w:pPr>
              <w:spacing w:line="360" w:lineRule="auto"/>
              <w:rPr>
                <w:rFonts w:eastAsiaTheme="minorEastAsia"/>
                <w:sz w:val="24"/>
              </w:rPr>
            </w:pPr>
            <w:r>
              <w:rPr>
                <w:rFonts w:eastAsiaTheme="minorEastAsia"/>
                <w:sz w:val="24"/>
              </w:rPr>
              <w:t>专业外语</w:t>
            </w:r>
          </w:p>
        </w:tc>
        <w:tc>
          <w:tcPr>
            <w:tcW w:w="1134" w:type="dxa"/>
          </w:tcPr>
          <w:p w:rsidR="001C4990" w:rsidRDefault="001C4990" w:rsidP="00380548">
            <w:pPr>
              <w:spacing w:line="360" w:lineRule="auto"/>
              <w:rPr>
                <w:rFonts w:eastAsiaTheme="minorEastAsia"/>
                <w:sz w:val="24"/>
              </w:rPr>
            </w:pPr>
            <w:r>
              <w:rPr>
                <w:rFonts w:eastAsiaTheme="minorEastAsia"/>
                <w:sz w:val="24"/>
              </w:rPr>
              <w:t>32</w:t>
            </w:r>
          </w:p>
        </w:tc>
        <w:tc>
          <w:tcPr>
            <w:tcW w:w="851" w:type="dxa"/>
          </w:tcPr>
          <w:p w:rsidR="001C4990" w:rsidRDefault="001C4990" w:rsidP="00380548">
            <w:pPr>
              <w:spacing w:line="360" w:lineRule="auto"/>
              <w:rPr>
                <w:rFonts w:eastAsiaTheme="minorEastAsia"/>
                <w:sz w:val="24"/>
              </w:rPr>
            </w:pPr>
            <w:r>
              <w:rPr>
                <w:rFonts w:eastAsiaTheme="minorEastAsia"/>
                <w:sz w:val="24"/>
              </w:rPr>
              <w:t>2</w:t>
            </w:r>
          </w:p>
        </w:tc>
      </w:tr>
      <w:tr w:rsidR="001C4990" w:rsidTr="00380548">
        <w:trPr>
          <w:jc w:val="center"/>
        </w:trPr>
        <w:tc>
          <w:tcPr>
            <w:tcW w:w="5920" w:type="dxa"/>
          </w:tcPr>
          <w:p w:rsidR="001C4990" w:rsidRDefault="001C4990" w:rsidP="00380548">
            <w:pPr>
              <w:spacing w:line="360" w:lineRule="auto"/>
              <w:rPr>
                <w:rFonts w:eastAsiaTheme="minorEastAsia"/>
                <w:sz w:val="24"/>
              </w:rPr>
            </w:pPr>
            <w:r>
              <w:rPr>
                <w:rFonts w:eastAsiaTheme="minorEastAsia"/>
                <w:sz w:val="24"/>
              </w:rPr>
              <w:t>高等工程数学</w:t>
            </w:r>
          </w:p>
        </w:tc>
        <w:tc>
          <w:tcPr>
            <w:tcW w:w="1134" w:type="dxa"/>
          </w:tcPr>
          <w:p w:rsidR="001C4990" w:rsidRDefault="001C4990" w:rsidP="00380548">
            <w:pPr>
              <w:spacing w:line="360" w:lineRule="auto"/>
              <w:rPr>
                <w:rFonts w:eastAsiaTheme="minorEastAsia"/>
                <w:sz w:val="24"/>
              </w:rPr>
            </w:pPr>
            <w:r>
              <w:rPr>
                <w:rFonts w:eastAsiaTheme="minorEastAsia" w:hint="eastAsia"/>
                <w:sz w:val="24"/>
              </w:rPr>
              <w:t>36</w:t>
            </w:r>
          </w:p>
        </w:tc>
        <w:tc>
          <w:tcPr>
            <w:tcW w:w="851" w:type="dxa"/>
          </w:tcPr>
          <w:p w:rsidR="001C4990" w:rsidRDefault="001C4990" w:rsidP="00380548">
            <w:pPr>
              <w:spacing w:line="360" w:lineRule="auto"/>
              <w:rPr>
                <w:rFonts w:eastAsiaTheme="minorEastAsia"/>
                <w:sz w:val="24"/>
              </w:rPr>
            </w:pPr>
            <w:r>
              <w:rPr>
                <w:rFonts w:eastAsiaTheme="minorEastAsia"/>
                <w:sz w:val="24"/>
              </w:rPr>
              <w:t>3</w:t>
            </w:r>
          </w:p>
        </w:tc>
      </w:tr>
      <w:tr w:rsidR="001C4990" w:rsidTr="00380548">
        <w:trPr>
          <w:jc w:val="center"/>
        </w:trPr>
        <w:tc>
          <w:tcPr>
            <w:tcW w:w="5920" w:type="dxa"/>
          </w:tcPr>
          <w:p w:rsidR="001C4990" w:rsidRDefault="001C4990" w:rsidP="00380548">
            <w:pPr>
              <w:spacing w:line="360" w:lineRule="auto"/>
              <w:rPr>
                <w:rFonts w:eastAsiaTheme="minorEastAsia"/>
                <w:sz w:val="24"/>
              </w:rPr>
            </w:pPr>
            <w:r>
              <w:rPr>
                <w:rFonts w:eastAsiaTheme="minorEastAsia"/>
                <w:sz w:val="24"/>
              </w:rPr>
              <w:t>安全系统工程</w:t>
            </w:r>
          </w:p>
        </w:tc>
        <w:tc>
          <w:tcPr>
            <w:tcW w:w="1134" w:type="dxa"/>
          </w:tcPr>
          <w:p w:rsidR="001C4990" w:rsidRDefault="001C4990" w:rsidP="00380548">
            <w:pPr>
              <w:spacing w:line="360" w:lineRule="auto"/>
              <w:rPr>
                <w:rFonts w:eastAsiaTheme="minorEastAsia"/>
                <w:sz w:val="24"/>
              </w:rPr>
            </w:pPr>
            <w:r>
              <w:rPr>
                <w:rFonts w:eastAsiaTheme="minorEastAsia"/>
                <w:sz w:val="24"/>
              </w:rPr>
              <w:t>32</w:t>
            </w:r>
          </w:p>
        </w:tc>
        <w:tc>
          <w:tcPr>
            <w:tcW w:w="851" w:type="dxa"/>
          </w:tcPr>
          <w:p w:rsidR="001C4990" w:rsidRDefault="001C4990" w:rsidP="00380548">
            <w:pPr>
              <w:spacing w:line="360" w:lineRule="auto"/>
              <w:rPr>
                <w:rFonts w:eastAsiaTheme="minorEastAsia"/>
                <w:sz w:val="24"/>
              </w:rPr>
            </w:pPr>
            <w:r>
              <w:rPr>
                <w:rFonts w:eastAsiaTheme="minorEastAsia"/>
                <w:sz w:val="24"/>
              </w:rPr>
              <w:t>2</w:t>
            </w:r>
          </w:p>
        </w:tc>
      </w:tr>
      <w:tr w:rsidR="001C4990" w:rsidTr="00380548">
        <w:trPr>
          <w:jc w:val="center"/>
        </w:trPr>
        <w:tc>
          <w:tcPr>
            <w:tcW w:w="5920" w:type="dxa"/>
          </w:tcPr>
          <w:p w:rsidR="001C4990" w:rsidRDefault="001C4990" w:rsidP="00380548">
            <w:pPr>
              <w:spacing w:line="360" w:lineRule="auto"/>
              <w:rPr>
                <w:rFonts w:eastAsiaTheme="minorEastAsia"/>
                <w:sz w:val="24"/>
              </w:rPr>
            </w:pPr>
            <w:r>
              <w:rPr>
                <w:rFonts w:eastAsiaTheme="minorEastAsia"/>
                <w:sz w:val="24"/>
              </w:rPr>
              <w:t>安全检测与监测</w:t>
            </w:r>
          </w:p>
        </w:tc>
        <w:tc>
          <w:tcPr>
            <w:tcW w:w="1134" w:type="dxa"/>
          </w:tcPr>
          <w:p w:rsidR="001C4990" w:rsidRDefault="001C4990" w:rsidP="00380548">
            <w:pPr>
              <w:spacing w:line="360" w:lineRule="auto"/>
              <w:rPr>
                <w:rFonts w:eastAsiaTheme="minorEastAsia"/>
                <w:sz w:val="24"/>
              </w:rPr>
            </w:pPr>
            <w:r>
              <w:rPr>
                <w:rFonts w:eastAsiaTheme="minorEastAsia"/>
                <w:sz w:val="24"/>
              </w:rPr>
              <w:t>32</w:t>
            </w:r>
          </w:p>
        </w:tc>
        <w:tc>
          <w:tcPr>
            <w:tcW w:w="851" w:type="dxa"/>
          </w:tcPr>
          <w:p w:rsidR="001C4990" w:rsidRDefault="001C4990" w:rsidP="00380548">
            <w:pPr>
              <w:spacing w:line="360" w:lineRule="auto"/>
              <w:rPr>
                <w:rFonts w:eastAsiaTheme="minorEastAsia"/>
                <w:sz w:val="24"/>
              </w:rPr>
            </w:pPr>
            <w:r>
              <w:rPr>
                <w:rFonts w:eastAsiaTheme="minorEastAsia"/>
                <w:sz w:val="24"/>
              </w:rPr>
              <w:t>2</w:t>
            </w:r>
          </w:p>
        </w:tc>
      </w:tr>
      <w:tr w:rsidR="001C4990" w:rsidTr="00380548">
        <w:trPr>
          <w:jc w:val="center"/>
        </w:trPr>
        <w:tc>
          <w:tcPr>
            <w:tcW w:w="5920" w:type="dxa"/>
          </w:tcPr>
          <w:p w:rsidR="001C4990" w:rsidRDefault="001C4990" w:rsidP="00380548">
            <w:pPr>
              <w:spacing w:line="360" w:lineRule="auto"/>
              <w:rPr>
                <w:rFonts w:eastAsiaTheme="minorEastAsia"/>
                <w:sz w:val="24"/>
              </w:rPr>
            </w:pPr>
            <w:r>
              <w:rPr>
                <w:rFonts w:eastAsiaTheme="minorEastAsia"/>
                <w:sz w:val="24"/>
              </w:rPr>
              <w:t>化工过程安全</w:t>
            </w:r>
          </w:p>
        </w:tc>
        <w:tc>
          <w:tcPr>
            <w:tcW w:w="1134" w:type="dxa"/>
          </w:tcPr>
          <w:p w:rsidR="001C4990" w:rsidRDefault="001C4990" w:rsidP="00380548">
            <w:pPr>
              <w:spacing w:line="360" w:lineRule="auto"/>
              <w:rPr>
                <w:rFonts w:eastAsiaTheme="minorEastAsia"/>
                <w:sz w:val="24"/>
              </w:rPr>
            </w:pPr>
            <w:r>
              <w:rPr>
                <w:rFonts w:eastAsiaTheme="minorEastAsia"/>
                <w:sz w:val="24"/>
              </w:rPr>
              <w:t>32</w:t>
            </w:r>
          </w:p>
        </w:tc>
        <w:tc>
          <w:tcPr>
            <w:tcW w:w="851" w:type="dxa"/>
          </w:tcPr>
          <w:p w:rsidR="001C4990" w:rsidRDefault="001C4990" w:rsidP="00380548">
            <w:pPr>
              <w:spacing w:line="360" w:lineRule="auto"/>
              <w:rPr>
                <w:rFonts w:eastAsiaTheme="minorEastAsia"/>
                <w:sz w:val="24"/>
              </w:rPr>
            </w:pPr>
            <w:r>
              <w:rPr>
                <w:rFonts w:eastAsiaTheme="minorEastAsia"/>
                <w:sz w:val="24"/>
              </w:rPr>
              <w:t>2</w:t>
            </w:r>
          </w:p>
        </w:tc>
      </w:tr>
      <w:tr w:rsidR="001C4990" w:rsidTr="00380548">
        <w:trPr>
          <w:jc w:val="center"/>
        </w:trPr>
        <w:tc>
          <w:tcPr>
            <w:tcW w:w="5920" w:type="dxa"/>
          </w:tcPr>
          <w:p w:rsidR="001C4990" w:rsidRDefault="001C4990" w:rsidP="00380548">
            <w:pPr>
              <w:spacing w:line="360" w:lineRule="auto"/>
              <w:rPr>
                <w:rFonts w:eastAsiaTheme="minorEastAsia"/>
                <w:sz w:val="24"/>
              </w:rPr>
            </w:pPr>
            <w:r>
              <w:rPr>
                <w:rFonts w:eastAsiaTheme="minorEastAsia"/>
                <w:sz w:val="24"/>
              </w:rPr>
              <w:t>化工自动化安全控制技术</w:t>
            </w:r>
          </w:p>
        </w:tc>
        <w:tc>
          <w:tcPr>
            <w:tcW w:w="1134" w:type="dxa"/>
          </w:tcPr>
          <w:p w:rsidR="001C4990" w:rsidRDefault="001C4990" w:rsidP="00380548">
            <w:pPr>
              <w:spacing w:line="360" w:lineRule="auto"/>
              <w:rPr>
                <w:rFonts w:eastAsiaTheme="minorEastAsia"/>
                <w:sz w:val="24"/>
              </w:rPr>
            </w:pPr>
            <w:r>
              <w:rPr>
                <w:rFonts w:eastAsiaTheme="minorEastAsia"/>
                <w:sz w:val="24"/>
              </w:rPr>
              <w:t>32</w:t>
            </w:r>
          </w:p>
        </w:tc>
        <w:tc>
          <w:tcPr>
            <w:tcW w:w="851" w:type="dxa"/>
          </w:tcPr>
          <w:p w:rsidR="001C4990" w:rsidRDefault="001C4990" w:rsidP="00380548">
            <w:pPr>
              <w:spacing w:line="360" w:lineRule="auto"/>
              <w:rPr>
                <w:rFonts w:eastAsiaTheme="minorEastAsia"/>
                <w:sz w:val="24"/>
              </w:rPr>
            </w:pPr>
            <w:r>
              <w:rPr>
                <w:rFonts w:eastAsiaTheme="minorEastAsia"/>
                <w:sz w:val="24"/>
              </w:rPr>
              <w:t>2</w:t>
            </w:r>
          </w:p>
        </w:tc>
      </w:tr>
      <w:tr w:rsidR="001C4990" w:rsidTr="00380548">
        <w:trPr>
          <w:jc w:val="center"/>
        </w:trPr>
        <w:tc>
          <w:tcPr>
            <w:tcW w:w="5920" w:type="dxa"/>
          </w:tcPr>
          <w:p w:rsidR="001C4990" w:rsidRDefault="001C4990" w:rsidP="00380548">
            <w:pPr>
              <w:spacing w:line="360" w:lineRule="auto"/>
              <w:rPr>
                <w:rFonts w:eastAsiaTheme="minorEastAsia"/>
                <w:sz w:val="24"/>
              </w:rPr>
            </w:pPr>
            <w:r>
              <w:rPr>
                <w:rFonts w:eastAsiaTheme="minorEastAsia"/>
                <w:sz w:val="24"/>
              </w:rPr>
              <w:t>化工设备失效分析</w:t>
            </w:r>
          </w:p>
        </w:tc>
        <w:tc>
          <w:tcPr>
            <w:tcW w:w="1134" w:type="dxa"/>
          </w:tcPr>
          <w:p w:rsidR="001C4990" w:rsidRDefault="001C4990" w:rsidP="00380548">
            <w:pPr>
              <w:spacing w:line="360" w:lineRule="auto"/>
              <w:rPr>
                <w:rFonts w:eastAsiaTheme="minorEastAsia"/>
                <w:sz w:val="24"/>
              </w:rPr>
            </w:pPr>
            <w:r>
              <w:rPr>
                <w:rFonts w:eastAsiaTheme="minorEastAsia"/>
                <w:sz w:val="24"/>
              </w:rPr>
              <w:t>32</w:t>
            </w:r>
          </w:p>
        </w:tc>
        <w:tc>
          <w:tcPr>
            <w:tcW w:w="851" w:type="dxa"/>
          </w:tcPr>
          <w:p w:rsidR="001C4990" w:rsidRDefault="001C4990" w:rsidP="00380548">
            <w:pPr>
              <w:spacing w:line="360" w:lineRule="auto"/>
              <w:rPr>
                <w:rFonts w:eastAsiaTheme="minorEastAsia"/>
                <w:sz w:val="24"/>
              </w:rPr>
            </w:pPr>
            <w:r>
              <w:rPr>
                <w:rFonts w:eastAsiaTheme="minorEastAsia"/>
                <w:sz w:val="24"/>
              </w:rPr>
              <w:t>1</w:t>
            </w:r>
          </w:p>
        </w:tc>
      </w:tr>
      <w:tr w:rsidR="001C4990" w:rsidTr="00380548">
        <w:trPr>
          <w:jc w:val="center"/>
        </w:trPr>
        <w:tc>
          <w:tcPr>
            <w:tcW w:w="5920" w:type="dxa"/>
          </w:tcPr>
          <w:p w:rsidR="001C4990" w:rsidRDefault="001C4990" w:rsidP="00380548">
            <w:pPr>
              <w:spacing w:line="360" w:lineRule="auto"/>
              <w:rPr>
                <w:rFonts w:eastAsiaTheme="minorEastAsia"/>
                <w:sz w:val="24"/>
              </w:rPr>
            </w:pPr>
            <w:r>
              <w:rPr>
                <w:rFonts w:eastAsiaTheme="minorEastAsia"/>
                <w:sz w:val="24"/>
              </w:rPr>
              <w:t>防火与防爆</w:t>
            </w:r>
          </w:p>
        </w:tc>
        <w:tc>
          <w:tcPr>
            <w:tcW w:w="1134" w:type="dxa"/>
          </w:tcPr>
          <w:p w:rsidR="001C4990" w:rsidRDefault="001C4990" w:rsidP="00380548">
            <w:pPr>
              <w:spacing w:line="360" w:lineRule="auto"/>
              <w:rPr>
                <w:rFonts w:eastAsiaTheme="minorEastAsia"/>
                <w:sz w:val="24"/>
              </w:rPr>
            </w:pPr>
            <w:r>
              <w:rPr>
                <w:rFonts w:eastAsiaTheme="minorEastAsia"/>
                <w:sz w:val="24"/>
              </w:rPr>
              <w:t>32</w:t>
            </w:r>
          </w:p>
        </w:tc>
        <w:tc>
          <w:tcPr>
            <w:tcW w:w="851" w:type="dxa"/>
          </w:tcPr>
          <w:p w:rsidR="001C4990" w:rsidRDefault="001C4990" w:rsidP="00380548">
            <w:pPr>
              <w:spacing w:line="360" w:lineRule="auto"/>
              <w:rPr>
                <w:rFonts w:eastAsiaTheme="minorEastAsia"/>
                <w:sz w:val="24"/>
              </w:rPr>
            </w:pPr>
            <w:r>
              <w:rPr>
                <w:rFonts w:eastAsiaTheme="minorEastAsia"/>
                <w:sz w:val="24"/>
              </w:rPr>
              <w:t>1</w:t>
            </w:r>
          </w:p>
        </w:tc>
      </w:tr>
      <w:tr w:rsidR="001C4990" w:rsidTr="00380548">
        <w:trPr>
          <w:jc w:val="center"/>
        </w:trPr>
        <w:tc>
          <w:tcPr>
            <w:tcW w:w="5920" w:type="dxa"/>
          </w:tcPr>
          <w:p w:rsidR="001C4990" w:rsidRDefault="001C4990" w:rsidP="00380548">
            <w:pPr>
              <w:spacing w:line="360" w:lineRule="auto"/>
              <w:rPr>
                <w:rFonts w:eastAsiaTheme="minorEastAsia"/>
                <w:sz w:val="24"/>
              </w:rPr>
            </w:pPr>
            <w:r>
              <w:rPr>
                <w:rFonts w:eastAsiaTheme="minorEastAsia"/>
                <w:sz w:val="24"/>
              </w:rPr>
              <w:t>化工安全设计与</w:t>
            </w:r>
            <w:r>
              <w:rPr>
                <w:rFonts w:eastAsiaTheme="minorEastAsia"/>
                <w:sz w:val="24"/>
              </w:rPr>
              <w:t>HAZOP</w:t>
            </w:r>
            <w:r>
              <w:rPr>
                <w:rFonts w:eastAsiaTheme="minorEastAsia"/>
                <w:sz w:val="24"/>
              </w:rPr>
              <w:t>分析</w:t>
            </w:r>
          </w:p>
        </w:tc>
        <w:tc>
          <w:tcPr>
            <w:tcW w:w="1134" w:type="dxa"/>
          </w:tcPr>
          <w:p w:rsidR="001C4990" w:rsidRDefault="001C4990" w:rsidP="00380548">
            <w:pPr>
              <w:spacing w:line="360" w:lineRule="auto"/>
              <w:rPr>
                <w:rFonts w:eastAsiaTheme="minorEastAsia"/>
                <w:sz w:val="24"/>
              </w:rPr>
            </w:pPr>
            <w:r>
              <w:rPr>
                <w:rFonts w:eastAsiaTheme="minorEastAsia"/>
                <w:sz w:val="24"/>
              </w:rPr>
              <w:t>16</w:t>
            </w:r>
          </w:p>
        </w:tc>
        <w:tc>
          <w:tcPr>
            <w:tcW w:w="851" w:type="dxa"/>
          </w:tcPr>
          <w:p w:rsidR="001C4990" w:rsidRDefault="001C4990" w:rsidP="00380548">
            <w:pPr>
              <w:spacing w:line="360" w:lineRule="auto"/>
              <w:rPr>
                <w:rFonts w:eastAsiaTheme="minorEastAsia"/>
                <w:sz w:val="24"/>
              </w:rPr>
            </w:pPr>
            <w:r>
              <w:rPr>
                <w:rFonts w:eastAsiaTheme="minorEastAsia"/>
                <w:sz w:val="24"/>
              </w:rPr>
              <w:t>1</w:t>
            </w:r>
          </w:p>
        </w:tc>
      </w:tr>
      <w:tr w:rsidR="001C4990" w:rsidTr="00380548">
        <w:trPr>
          <w:jc w:val="center"/>
        </w:trPr>
        <w:tc>
          <w:tcPr>
            <w:tcW w:w="5920" w:type="dxa"/>
          </w:tcPr>
          <w:p w:rsidR="001C4990" w:rsidRDefault="001C4990" w:rsidP="00380548">
            <w:pPr>
              <w:spacing w:line="360" w:lineRule="auto"/>
              <w:rPr>
                <w:rFonts w:eastAsiaTheme="minorEastAsia"/>
                <w:sz w:val="24"/>
              </w:rPr>
            </w:pPr>
            <w:r>
              <w:rPr>
                <w:rFonts w:eastAsiaTheme="minorEastAsia"/>
                <w:sz w:val="24"/>
              </w:rPr>
              <w:t>保护层分析（</w:t>
            </w:r>
            <w:r>
              <w:rPr>
                <w:rFonts w:eastAsiaTheme="minorEastAsia"/>
                <w:sz w:val="24"/>
              </w:rPr>
              <w:t>LOPA</w:t>
            </w:r>
            <w:r>
              <w:rPr>
                <w:rFonts w:eastAsiaTheme="minorEastAsia"/>
                <w:sz w:val="24"/>
              </w:rPr>
              <w:t>）技术安全完整性等级分析（</w:t>
            </w:r>
            <w:r>
              <w:rPr>
                <w:rFonts w:eastAsiaTheme="minorEastAsia"/>
                <w:sz w:val="24"/>
              </w:rPr>
              <w:t>SIL</w:t>
            </w:r>
            <w:r>
              <w:rPr>
                <w:rFonts w:eastAsiaTheme="minorEastAsia"/>
                <w:sz w:val="24"/>
              </w:rPr>
              <w:t>）</w:t>
            </w:r>
          </w:p>
        </w:tc>
        <w:tc>
          <w:tcPr>
            <w:tcW w:w="1134" w:type="dxa"/>
          </w:tcPr>
          <w:p w:rsidR="001C4990" w:rsidRDefault="001C4990" w:rsidP="00380548">
            <w:pPr>
              <w:spacing w:line="360" w:lineRule="auto"/>
              <w:rPr>
                <w:rFonts w:eastAsiaTheme="minorEastAsia"/>
                <w:sz w:val="24"/>
              </w:rPr>
            </w:pPr>
            <w:r>
              <w:rPr>
                <w:rFonts w:eastAsiaTheme="minorEastAsia"/>
                <w:sz w:val="24"/>
              </w:rPr>
              <w:t>16</w:t>
            </w:r>
          </w:p>
        </w:tc>
        <w:tc>
          <w:tcPr>
            <w:tcW w:w="851" w:type="dxa"/>
          </w:tcPr>
          <w:p w:rsidR="001C4990" w:rsidRDefault="001C4990" w:rsidP="00380548">
            <w:pPr>
              <w:spacing w:line="360" w:lineRule="auto"/>
              <w:rPr>
                <w:rFonts w:eastAsiaTheme="minorEastAsia"/>
                <w:sz w:val="24"/>
              </w:rPr>
            </w:pPr>
            <w:r>
              <w:rPr>
                <w:rFonts w:eastAsiaTheme="minorEastAsia"/>
                <w:sz w:val="24"/>
              </w:rPr>
              <w:t>1</w:t>
            </w:r>
          </w:p>
        </w:tc>
      </w:tr>
      <w:tr w:rsidR="001C4990" w:rsidTr="00380548">
        <w:trPr>
          <w:jc w:val="center"/>
        </w:trPr>
        <w:tc>
          <w:tcPr>
            <w:tcW w:w="5920" w:type="dxa"/>
          </w:tcPr>
          <w:p w:rsidR="001C4990" w:rsidRDefault="001C4990" w:rsidP="00380548">
            <w:pPr>
              <w:spacing w:line="360" w:lineRule="auto"/>
              <w:rPr>
                <w:rFonts w:eastAsiaTheme="minorEastAsia"/>
                <w:sz w:val="24"/>
              </w:rPr>
            </w:pPr>
            <w:r>
              <w:rPr>
                <w:rFonts w:eastAsiaTheme="minorEastAsia"/>
                <w:sz w:val="24"/>
              </w:rPr>
              <w:t>安全心理学</w:t>
            </w:r>
          </w:p>
        </w:tc>
        <w:tc>
          <w:tcPr>
            <w:tcW w:w="1134" w:type="dxa"/>
          </w:tcPr>
          <w:p w:rsidR="001C4990" w:rsidRDefault="001C4990" w:rsidP="00380548">
            <w:pPr>
              <w:spacing w:line="360" w:lineRule="auto"/>
              <w:rPr>
                <w:rFonts w:eastAsiaTheme="minorEastAsia"/>
                <w:sz w:val="24"/>
              </w:rPr>
            </w:pPr>
            <w:r>
              <w:rPr>
                <w:rFonts w:eastAsiaTheme="minorEastAsia"/>
                <w:sz w:val="24"/>
              </w:rPr>
              <w:t>16</w:t>
            </w:r>
          </w:p>
        </w:tc>
        <w:tc>
          <w:tcPr>
            <w:tcW w:w="851" w:type="dxa"/>
          </w:tcPr>
          <w:p w:rsidR="001C4990" w:rsidRDefault="001C4990" w:rsidP="00380548">
            <w:pPr>
              <w:spacing w:line="360" w:lineRule="auto"/>
              <w:rPr>
                <w:rFonts w:eastAsiaTheme="minorEastAsia"/>
                <w:sz w:val="24"/>
              </w:rPr>
            </w:pPr>
            <w:r>
              <w:rPr>
                <w:rFonts w:eastAsiaTheme="minorEastAsia"/>
                <w:sz w:val="24"/>
              </w:rPr>
              <w:t>1</w:t>
            </w:r>
          </w:p>
        </w:tc>
      </w:tr>
      <w:tr w:rsidR="001C4990" w:rsidTr="00380548">
        <w:trPr>
          <w:jc w:val="center"/>
        </w:trPr>
        <w:tc>
          <w:tcPr>
            <w:tcW w:w="5920" w:type="dxa"/>
          </w:tcPr>
          <w:p w:rsidR="001C4990" w:rsidRDefault="001C4990" w:rsidP="00380548">
            <w:pPr>
              <w:spacing w:line="360" w:lineRule="auto"/>
              <w:rPr>
                <w:rFonts w:eastAsiaTheme="minorEastAsia"/>
                <w:sz w:val="24"/>
              </w:rPr>
            </w:pPr>
            <w:r>
              <w:rPr>
                <w:rFonts w:eastAsiaTheme="minorEastAsia"/>
                <w:sz w:val="24"/>
              </w:rPr>
              <w:t>化工过程安全管理体系概述</w:t>
            </w:r>
          </w:p>
        </w:tc>
        <w:tc>
          <w:tcPr>
            <w:tcW w:w="1134" w:type="dxa"/>
          </w:tcPr>
          <w:p w:rsidR="001C4990" w:rsidRDefault="001C4990" w:rsidP="00380548">
            <w:pPr>
              <w:spacing w:line="360" w:lineRule="auto"/>
              <w:rPr>
                <w:rFonts w:eastAsiaTheme="minorEastAsia"/>
                <w:sz w:val="24"/>
              </w:rPr>
            </w:pPr>
            <w:r>
              <w:rPr>
                <w:rFonts w:eastAsiaTheme="minorEastAsia"/>
                <w:sz w:val="24"/>
              </w:rPr>
              <w:t>16</w:t>
            </w:r>
          </w:p>
        </w:tc>
        <w:tc>
          <w:tcPr>
            <w:tcW w:w="851" w:type="dxa"/>
          </w:tcPr>
          <w:p w:rsidR="001C4990" w:rsidRDefault="001C4990" w:rsidP="00380548">
            <w:pPr>
              <w:spacing w:line="360" w:lineRule="auto"/>
              <w:rPr>
                <w:rFonts w:eastAsiaTheme="minorEastAsia"/>
                <w:sz w:val="24"/>
              </w:rPr>
            </w:pPr>
            <w:r>
              <w:rPr>
                <w:rFonts w:eastAsiaTheme="minorEastAsia"/>
                <w:sz w:val="24"/>
              </w:rPr>
              <w:t>1</w:t>
            </w:r>
          </w:p>
        </w:tc>
      </w:tr>
      <w:tr w:rsidR="001C4990" w:rsidTr="00380548">
        <w:trPr>
          <w:jc w:val="center"/>
        </w:trPr>
        <w:tc>
          <w:tcPr>
            <w:tcW w:w="5920" w:type="dxa"/>
          </w:tcPr>
          <w:p w:rsidR="001C4990" w:rsidRDefault="001C4990" w:rsidP="00380548">
            <w:pPr>
              <w:spacing w:line="360" w:lineRule="auto"/>
              <w:rPr>
                <w:rFonts w:eastAsiaTheme="minorEastAsia"/>
                <w:sz w:val="24"/>
              </w:rPr>
            </w:pPr>
            <w:r>
              <w:rPr>
                <w:rFonts w:eastAsiaTheme="minorEastAsia"/>
                <w:sz w:val="24"/>
              </w:rPr>
              <w:t>工程伦理学</w:t>
            </w:r>
          </w:p>
        </w:tc>
        <w:tc>
          <w:tcPr>
            <w:tcW w:w="1134" w:type="dxa"/>
          </w:tcPr>
          <w:p w:rsidR="001C4990" w:rsidRDefault="001C4990" w:rsidP="00380548">
            <w:pPr>
              <w:spacing w:line="360" w:lineRule="auto"/>
              <w:rPr>
                <w:rFonts w:eastAsiaTheme="minorEastAsia"/>
                <w:sz w:val="24"/>
              </w:rPr>
            </w:pPr>
            <w:r>
              <w:rPr>
                <w:rFonts w:eastAsiaTheme="minorEastAsia"/>
                <w:sz w:val="24"/>
              </w:rPr>
              <w:t>16</w:t>
            </w:r>
          </w:p>
        </w:tc>
        <w:tc>
          <w:tcPr>
            <w:tcW w:w="851" w:type="dxa"/>
          </w:tcPr>
          <w:p w:rsidR="001C4990" w:rsidRDefault="001C4990" w:rsidP="00380548">
            <w:pPr>
              <w:spacing w:line="360" w:lineRule="auto"/>
              <w:rPr>
                <w:rFonts w:eastAsiaTheme="minorEastAsia"/>
                <w:sz w:val="24"/>
              </w:rPr>
            </w:pPr>
            <w:r>
              <w:rPr>
                <w:rFonts w:eastAsiaTheme="minorEastAsia"/>
                <w:sz w:val="24"/>
              </w:rPr>
              <w:t>1</w:t>
            </w:r>
          </w:p>
        </w:tc>
      </w:tr>
      <w:tr w:rsidR="001C4990" w:rsidTr="00380548">
        <w:trPr>
          <w:jc w:val="center"/>
        </w:trPr>
        <w:tc>
          <w:tcPr>
            <w:tcW w:w="5920" w:type="dxa"/>
          </w:tcPr>
          <w:p w:rsidR="001C4990" w:rsidRDefault="001C4990" w:rsidP="00380548">
            <w:pPr>
              <w:spacing w:line="360" w:lineRule="auto"/>
              <w:rPr>
                <w:rFonts w:eastAsiaTheme="minorEastAsia"/>
                <w:sz w:val="24"/>
              </w:rPr>
            </w:pPr>
            <w:r>
              <w:rPr>
                <w:rFonts w:eastAsiaTheme="minorEastAsia"/>
                <w:sz w:val="24"/>
              </w:rPr>
              <w:t>化学反应工程</w:t>
            </w:r>
          </w:p>
        </w:tc>
        <w:tc>
          <w:tcPr>
            <w:tcW w:w="1134" w:type="dxa"/>
          </w:tcPr>
          <w:p w:rsidR="001C4990" w:rsidRDefault="001C4990" w:rsidP="00380548">
            <w:pPr>
              <w:spacing w:line="360" w:lineRule="auto"/>
              <w:rPr>
                <w:rFonts w:eastAsiaTheme="minorEastAsia"/>
                <w:sz w:val="24"/>
              </w:rPr>
            </w:pPr>
            <w:r>
              <w:rPr>
                <w:rFonts w:eastAsiaTheme="minorEastAsia"/>
                <w:sz w:val="24"/>
              </w:rPr>
              <w:t>32</w:t>
            </w:r>
          </w:p>
        </w:tc>
        <w:tc>
          <w:tcPr>
            <w:tcW w:w="851" w:type="dxa"/>
          </w:tcPr>
          <w:p w:rsidR="001C4990" w:rsidRDefault="001C4990" w:rsidP="00380548">
            <w:pPr>
              <w:spacing w:line="360" w:lineRule="auto"/>
              <w:rPr>
                <w:rFonts w:eastAsiaTheme="minorEastAsia"/>
                <w:sz w:val="24"/>
              </w:rPr>
            </w:pPr>
            <w:r>
              <w:rPr>
                <w:rFonts w:eastAsiaTheme="minorEastAsia"/>
                <w:sz w:val="24"/>
              </w:rPr>
              <w:t>2</w:t>
            </w:r>
          </w:p>
        </w:tc>
      </w:tr>
      <w:tr w:rsidR="001C4990" w:rsidTr="00380548">
        <w:trPr>
          <w:jc w:val="center"/>
        </w:trPr>
        <w:tc>
          <w:tcPr>
            <w:tcW w:w="5920" w:type="dxa"/>
          </w:tcPr>
          <w:p w:rsidR="001C4990" w:rsidRDefault="001C4990" w:rsidP="00380548">
            <w:pPr>
              <w:spacing w:line="360" w:lineRule="auto"/>
              <w:rPr>
                <w:rFonts w:eastAsiaTheme="minorEastAsia"/>
                <w:sz w:val="24"/>
              </w:rPr>
            </w:pPr>
            <w:r>
              <w:rPr>
                <w:rFonts w:eastAsiaTheme="minorEastAsia"/>
                <w:sz w:val="24"/>
              </w:rPr>
              <w:t>过程控制仪表与装置</w:t>
            </w:r>
          </w:p>
        </w:tc>
        <w:tc>
          <w:tcPr>
            <w:tcW w:w="1134" w:type="dxa"/>
          </w:tcPr>
          <w:p w:rsidR="001C4990" w:rsidRDefault="001C4990" w:rsidP="00380548">
            <w:pPr>
              <w:spacing w:line="360" w:lineRule="auto"/>
              <w:rPr>
                <w:rFonts w:eastAsiaTheme="minorEastAsia"/>
                <w:sz w:val="24"/>
              </w:rPr>
            </w:pPr>
            <w:r>
              <w:rPr>
                <w:rFonts w:eastAsiaTheme="minorEastAsia"/>
                <w:sz w:val="24"/>
              </w:rPr>
              <w:t>16</w:t>
            </w:r>
          </w:p>
        </w:tc>
        <w:tc>
          <w:tcPr>
            <w:tcW w:w="851" w:type="dxa"/>
          </w:tcPr>
          <w:p w:rsidR="001C4990" w:rsidRDefault="001C4990" w:rsidP="00380548">
            <w:pPr>
              <w:spacing w:line="360" w:lineRule="auto"/>
              <w:rPr>
                <w:rFonts w:eastAsiaTheme="minorEastAsia"/>
                <w:sz w:val="24"/>
              </w:rPr>
            </w:pPr>
            <w:r>
              <w:rPr>
                <w:rFonts w:eastAsiaTheme="minorEastAsia"/>
                <w:sz w:val="24"/>
              </w:rPr>
              <w:t>1</w:t>
            </w:r>
          </w:p>
        </w:tc>
      </w:tr>
      <w:tr w:rsidR="001C4990" w:rsidTr="00380548">
        <w:trPr>
          <w:jc w:val="center"/>
        </w:trPr>
        <w:tc>
          <w:tcPr>
            <w:tcW w:w="5920" w:type="dxa"/>
          </w:tcPr>
          <w:p w:rsidR="001C4990" w:rsidRDefault="001C4990" w:rsidP="00380548">
            <w:pPr>
              <w:spacing w:line="360" w:lineRule="auto"/>
              <w:rPr>
                <w:rFonts w:eastAsiaTheme="minorEastAsia"/>
                <w:sz w:val="24"/>
              </w:rPr>
            </w:pPr>
            <w:r>
              <w:rPr>
                <w:rFonts w:eastAsiaTheme="minorEastAsia"/>
                <w:sz w:val="24"/>
              </w:rPr>
              <w:t>定量风险评估</w:t>
            </w:r>
          </w:p>
        </w:tc>
        <w:tc>
          <w:tcPr>
            <w:tcW w:w="1134" w:type="dxa"/>
          </w:tcPr>
          <w:p w:rsidR="001C4990" w:rsidRDefault="001C4990" w:rsidP="00380548">
            <w:pPr>
              <w:spacing w:line="360" w:lineRule="auto"/>
              <w:rPr>
                <w:rFonts w:eastAsiaTheme="minorEastAsia"/>
                <w:sz w:val="24"/>
              </w:rPr>
            </w:pPr>
            <w:r>
              <w:rPr>
                <w:rFonts w:eastAsiaTheme="minorEastAsia"/>
                <w:sz w:val="24"/>
              </w:rPr>
              <w:t>16</w:t>
            </w:r>
          </w:p>
        </w:tc>
        <w:tc>
          <w:tcPr>
            <w:tcW w:w="851" w:type="dxa"/>
          </w:tcPr>
          <w:p w:rsidR="001C4990" w:rsidRDefault="001C4990" w:rsidP="00380548">
            <w:pPr>
              <w:spacing w:line="360" w:lineRule="auto"/>
              <w:rPr>
                <w:rFonts w:eastAsiaTheme="minorEastAsia"/>
                <w:sz w:val="24"/>
              </w:rPr>
            </w:pPr>
            <w:r>
              <w:rPr>
                <w:rFonts w:eastAsiaTheme="minorEastAsia"/>
                <w:sz w:val="24"/>
              </w:rPr>
              <w:t>1</w:t>
            </w:r>
          </w:p>
        </w:tc>
      </w:tr>
      <w:tr w:rsidR="001C4990" w:rsidTr="00380548">
        <w:trPr>
          <w:jc w:val="center"/>
        </w:trPr>
        <w:tc>
          <w:tcPr>
            <w:tcW w:w="5920" w:type="dxa"/>
          </w:tcPr>
          <w:p w:rsidR="001C4990" w:rsidRDefault="001C4990" w:rsidP="00380548">
            <w:pPr>
              <w:spacing w:line="360" w:lineRule="auto"/>
              <w:rPr>
                <w:rFonts w:eastAsiaTheme="minorEastAsia"/>
                <w:sz w:val="24"/>
              </w:rPr>
            </w:pPr>
            <w:r>
              <w:rPr>
                <w:rFonts w:eastAsiaTheme="minorEastAsia"/>
                <w:sz w:val="24"/>
              </w:rPr>
              <w:t>消防安全</w:t>
            </w:r>
          </w:p>
        </w:tc>
        <w:tc>
          <w:tcPr>
            <w:tcW w:w="1134" w:type="dxa"/>
          </w:tcPr>
          <w:p w:rsidR="001C4990" w:rsidRDefault="001C4990" w:rsidP="00380548">
            <w:pPr>
              <w:spacing w:line="360" w:lineRule="auto"/>
              <w:rPr>
                <w:rFonts w:eastAsiaTheme="minorEastAsia"/>
                <w:sz w:val="24"/>
              </w:rPr>
            </w:pPr>
            <w:r>
              <w:rPr>
                <w:rFonts w:eastAsiaTheme="minorEastAsia"/>
                <w:sz w:val="24"/>
              </w:rPr>
              <w:t>32</w:t>
            </w:r>
          </w:p>
        </w:tc>
        <w:tc>
          <w:tcPr>
            <w:tcW w:w="851" w:type="dxa"/>
          </w:tcPr>
          <w:p w:rsidR="001C4990" w:rsidRDefault="001C4990" w:rsidP="00380548">
            <w:pPr>
              <w:spacing w:line="360" w:lineRule="auto"/>
              <w:rPr>
                <w:rFonts w:eastAsiaTheme="minorEastAsia"/>
                <w:sz w:val="24"/>
              </w:rPr>
            </w:pPr>
            <w:r>
              <w:rPr>
                <w:rFonts w:eastAsiaTheme="minorEastAsia"/>
                <w:sz w:val="24"/>
              </w:rPr>
              <w:t>1</w:t>
            </w:r>
          </w:p>
        </w:tc>
      </w:tr>
      <w:tr w:rsidR="001C4990" w:rsidTr="00380548">
        <w:trPr>
          <w:jc w:val="center"/>
        </w:trPr>
        <w:tc>
          <w:tcPr>
            <w:tcW w:w="5920" w:type="dxa"/>
          </w:tcPr>
          <w:p w:rsidR="001C4990" w:rsidRDefault="001C4990" w:rsidP="00380548">
            <w:pPr>
              <w:spacing w:line="360" w:lineRule="auto"/>
              <w:rPr>
                <w:rFonts w:eastAsiaTheme="minorEastAsia"/>
                <w:sz w:val="24"/>
              </w:rPr>
            </w:pPr>
            <w:r>
              <w:rPr>
                <w:rFonts w:eastAsiaTheme="minorEastAsia"/>
                <w:sz w:val="24"/>
              </w:rPr>
              <w:t>压力容器安全评定技术</w:t>
            </w:r>
          </w:p>
        </w:tc>
        <w:tc>
          <w:tcPr>
            <w:tcW w:w="1134" w:type="dxa"/>
          </w:tcPr>
          <w:p w:rsidR="001C4990" w:rsidRDefault="001C4990" w:rsidP="00380548">
            <w:pPr>
              <w:spacing w:line="360" w:lineRule="auto"/>
              <w:rPr>
                <w:rFonts w:eastAsiaTheme="minorEastAsia"/>
                <w:sz w:val="24"/>
              </w:rPr>
            </w:pPr>
            <w:r>
              <w:rPr>
                <w:rFonts w:eastAsiaTheme="minorEastAsia"/>
                <w:sz w:val="24"/>
              </w:rPr>
              <w:t>16</w:t>
            </w:r>
          </w:p>
        </w:tc>
        <w:tc>
          <w:tcPr>
            <w:tcW w:w="851" w:type="dxa"/>
          </w:tcPr>
          <w:p w:rsidR="001C4990" w:rsidRDefault="001C4990" w:rsidP="00380548">
            <w:pPr>
              <w:spacing w:line="360" w:lineRule="auto"/>
              <w:rPr>
                <w:rFonts w:eastAsiaTheme="minorEastAsia"/>
                <w:sz w:val="24"/>
              </w:rPr>
            </w:pPr>
            <w:r>
              <w:rPr>
                <w:rFonts w:eastAsiaTheme="minorEastAsia"/>
                <w:sz w:val="24"/>
              </w:rPr>
              <w:t>1</w:t>
            </w:r>
          </w:p>
        </w:tc>
      </w:tr>
      <w:tr w:rsidR="001C4990" w:rsidTr="00380548">
        <w:trPr>
          <w:jc w:val="center"/>
        </w:trPr>
        <w:tc>
          <w:tcPr>
            <w:tcW w:w="5920" w:type="dxa"/>
          </w:tcPr>
          <w:p w:rsidR="001C4990" w:rsidRDefault="001C4990" w:rsidP="00380548">
            <w:pPr>
              <w:spacing w:line="360" w:lineRule="auto"/>
              <w:rPr>
                <w:rFonts w:eastAsiaTheme="minorEastAsia"/>
                <w:sz w:val="24"/>
              </w:rPr>
            </w:pPr>
            <w:r>
              <w:rPr>
                <w:rFonts w:eastAsiaTheme="minorEastAsia"/>
                <w:sz w:val="24"/>
              </w:rPr>
              <w:t>化工安全专家系列讲座</w:t>
            </w:r>
          </w:p>
        </w:tc>
        <w:tc>
          <w:tcPr>
            <w:tcW w:w="1134" w:type="dxa"/>
          </w:tcPr>
          <w:p w:rsidR="001C4990" w:rsidRDefault="001C4990" w:rsidP="00380548">
            <w:pPr>
              <w:spacing w:line="360" w:lineRule="auto"/>
              <w:rPr>
                <w:rFonts w:eastAsiaTheme="minorEastAsia"/>
                <w:sz w:val="24"/>
              </w:rPr>
            </w:pPr>
            <w:r>
              <w:rPr>
                <w:rFonts w:eastAsiaTheme="minorEastAsia"/>
                <w:sz w:val="24"/>
              </w:rPr>
              <w:t>16</w:t>
            </w:r>
          </w:p>
        </w:tc>
        <w:tc>
          <w:tcPr>
            <w:tcW w:w="851" w:type="dxa"/>
          </w:tcPr>
          <w:p w:rsidR="001C4990" w:rsidRDefault="001C4990" w:rsidP="00380548">
            <w:pPr>
              <w:spacing w:line="360" w:lineRule="auto"/>
              <w:rPr>
                <w:rFonts w:eastAsiaTheme="minorEastAsia"/>
                <w:sz w:val="24"/>
              </w:rPr>
            </w:pPr>
            <w:r>
              <w:rPr>
                <w:rFonts w:eastAsiaTheme="minorEastAsia"/>
                <w:sz w:val="24"/>
              </w:rPr>
              <w:t>1</w:t>
            </w:r>
          </w:p>
        </w:tc>
      </w:tr>
      <w:tr w:rsidR="001C4990" w:rsidTr="00380548">
        <w:trPr>
          <w:jc w:val="center"/>
        </w:trPr>
        <w:tc>
          <w:tcPr>
            <w:tcW w:w="5920" w:type="dxa"/>
          </w:tcPr>
          <w:p w:rsidR="001C4990" w:rsidRDefault="001C4990" w:rsidP="00380548">
            <w:pPr>
              <w:spacing w:line="360" w:lineRule="auto"/>
              <w:rPr>
                <w:rFonts w:eastAsiaTheme="minorEastAsia"/>
                <w:sz w:val="24"/>
              </w:rPr>
            </w:pPr>
            <w:r>
              <w:rPr>
                <w:rFonts w:eastAsiaTheme="minorEastAsia"/>
                <w:sz w:val="24"/>
              </w:rPr>
              <w:t>现代科学技术及科技论文写作</w:t>
            </w:r>
          </w:p>
        </w:tc>
        <w:tc>
          <w:tcPr>
            <w:tcW w:w="1134" w:type="dxa"/>
          </w:tcPr>
          <w:p w:rsidR="001C4990" w:rsidRDefault="001C4990" w:rsidP="00380548">
            <w:pPr>
              <w:spacing w:line="360" w:lineRule="auto"/>
              <w:rPr>
                <w:rFonts w:eastAsiaTheme="minorEastAsia"/>
                <w:sz w:val="24"/>
              </w:rPr>
            </w:pPr>
          </w:p>
        </w:tc>
        <w:tc>
          <w:tcPr>
            <w:tcW w:w="851" w:type="dxa"/>
          </w:tcPr>
          <w:p w:rsidR="001C4990" w:rsidRDefault="001C4990" w:rsidP="00380548">
            <w:pPr>
              <w:spacing w:line="360" w:lineRule="auto"/>
              <w:rPr>
                <w:rFonts w:eastAsiaTheme="minorEastAsia"/>
                <w:sz w:val="24"/>
              </w:rPr>
            </w:pPr>
            <w:r>
              <w:rPr>
                <w:rFonts w:eastAsiaTheme="minorEastAsia" w:hint="eastAsia"/>
                <w:sz w:val="24"/>
              </w:rPr>
              <w:t>3</w:t>
            </w:r>
          </w:p>
        </w:tc>
      </w:tr>
    </w:tbl>
    <w:p w:rsidR="001C4990" w:rsidRDefault="001C4990" w:rsidP="001C4990">
      <w:pPr>
        <w:spacing w:line="360" w:lineRule="auto"/>
        <w:ind w:firstLineChars="200" w:firstLine="480"/>
        <w:rPr>
          <w:rFonts w:eastAsiaTheme="minorEastAsia"/>
          <w:sz w:val="24"/>
        </w:rPr>
      </w:pPr>
      <w:r>
        <w:rPr>
          <w:rFonts w:eastAsiaTheme="minorEastAsia"/>
          <w:sz w:val="24"/>
        </w:rPr>
        <w:t>为培养具有国际化视野、与国际接轨的化工过程安全高级人才，设置一学期的国外优质远程课程学习，考核合格者可获得国外大学的课程证书。对于满足海外学习条件的学生，由学校组织（费用自理）赴国外相关的高校或研究中心参加为期</w:t>
      </w:r>
      <w:r>
        <w:rPr>
          <w:rFonts w:eastAsiaTheme="minorEastAsia"/>
          <w:sz w:val="24"/>
        </w:rPr>
        <w:t>1</w:t>
      </w:r>
      <w:r>
        <w:rPr>
          <w:rFonts w:eastAsiaTheme="minorEastAsia"/>
          <w:sz w:val="24"/>
        </w:rPr>
        <w:t>～</w:t>
      </w:r>
      <w:r>
        <w:rPr>
          <w:rFonts w:eastAsiaTheme="minorEastAsia"/>
          <w:sz w:val="24"/>
        </w:rPr>
        <w:t>2</w:t>
      </w:r>
      <w:r>
        <w:rPr>
          <w:rFonts w:eastAsiaTheme="minorEastAsia"/>
          <w:sz w:val="24"/>
        </w:rPr>
        <w:t>个月的专业化技能学习，学习内容包括危险与可操作性分析（</w:t>
      </w:r>
      <w:r>
        <w:rPr>
          <w:rFonts w:eastAsiaTheme="minorEastAsia"/>
          <w:sz w:val="24"/>
        </w:rPr>
        <w:t>HAZOP</w:t>
      </w:r>
      <w:r>
        <w:rPr>
          <w:rFonts w:eastAsiaTheme="minorEastAsia"/>
          <w:sz w:val="24"/>
        </w:rPr>
        <w:t>）、</w:t>
      </w:r>
      <w:r>
        <w:rPr>
          <w:rFonts w:eastAsiaTheme="minorEastAsia"/>
          <w:sz w:val="24"/>
        </w:rPr>
        <w:lastRenderedPageBreak/>
        <w:t>保护层分析（</w:t>
      </w:r>
      <w:r>
        <w:rPr>
          <w:rFonts w:eastAsiaTheme="minorEastAsia"/>
          <w:sz w:val="24"/>
        </w:rPr>
        <w:t>LOPA</w:t>
      </w:r>
      <w:r>
        <w:rPr>
          <w:rFonts w:eastAsiaTheme="minorEastAsia"/>
          <w:sz w:val="24"/>
        </w:rPr>
        <w:t>）和安全完整性等级分析（</w:t>
      </w:r>
      <w:r>
        <w:rPr>
          <w:rFonts w:eastAsiaTheme="minorEastAsia"/>
          <w:sz w:val="24"/>
        </w:rPr>
        <w:t>SIL</w:t>
      </w:r>
      <w:r>
        <w:rPr>
          <w:rFonts w:eastAsiaTheme="minorEastAsia"/>
          <w:sz w:val="24"/>
        </w:rPr>
        <w:t>）等化工过程安全领域的关键性内容，境外学习期间，同时组织学员参观石油、化工企业及消防应急机构。</w:t>
      </w:r>
    </w:p>
    <w:p w:rsidR="001C4990" w:rsidRDefault="001C4990" w:rsidP="001C4990">
      <w:pPr>
        <w:pStyle w:val="1"/>
        <w:numPr>
          <w:ilvl w:val="0"/>
          <w:numId w:val="1"/>
        </w:numPr>
        <w:spacing w:line="360" w:lineRule="auto"/>
        <w:ind w:left="0" w:firstLine="562"/>
        <w:jc w:val="left"/>
        <w:rPr>
          <w:rFonts w:eastAsiaTheme="minorEastAsia"/>
          <w:b/>
          <w:sz w:val="28"/>
        </w:rPr>
      </w:pPr>
      <w:r>
        <w:rPr>
          <w:rFonts w:eastAsiaTheme="minorEastAsia"/>
          <w:b/>
          <w:sz w:val="28"/>
        </w:rPr>
        <w:t>研修班学员管理</w:t>
      </w:r>
    </w:p>
    <w:p w:rsidR="001C4990" w:rsidRDefault="001C4990" w:rsidP="001C4990">
      <w:pPr>
        <w:spacing w:line="360" w:lineRule="auto"/>
        <w:ind w:firstLineChars="200" w:firstLine="480"/>
        <w:jc w:val="left"/>
        <w:rPr>
          <w:rFonts w:eastAsiaTheme="minorEastAsia"/>
          <w:sz w:val="24"/>
        </w:rPr>
      </w:pPr>
      <w:r>
        <w:rPr>
          <w:rFonts w:eastAsiaTheme="minorEastAsia"/>
          <w:sz w:val="24"/>
        </w:rPr>
        <w:t>（一）研修班学员除严格遵守学校的相关管理规定外，同时按照国家安全监管总局对于论文方向、师资配备以及部分重点课程实行教考分离等相关要求，从学业和生活上进行单独管理。</w:t>
      </w:r>
    </w:p>
    <w:p w:rsidR="001C4990" w:rsidRDefault="001C4990" w:rsidP="001C4990">
      <w:pPr>
        <w:spacing w:line="360" w:lineRule="auto"/>
        <w:ind w:firstLineChars="200" w:firstLine="480"/>
        <w:jc w:val="left"/>
        <w:rPr>
          <w:rFonts w:eastAsiaTheme="minorEastAsia"/>
          <w:sz w:val="24"/>
        </w:rPr>
      </w:pPr>
      <w:r>
        <w:rPr>
          <w:rFonts w:eastAsiaTheme="minorEastAsia"/>
          <w:sz w:val="24"/>
        </w:rPr>
        <w:t>（二）针对国家安全监管总局要求的相关生产实践环节等特色过程，实行严格的考勤及现场表现考核制度，计入最后相应的课程和论文成绩。</w:t>
      </w:r>
    </w:p>
    <w:p w:rsidR="001C4990" w:rsidRDefault="001C4990" w:rsidP="001C4990">
      <w:pPr>
        <w:spacing w:line="360" w:lineRule="auto"/>
        <w:ind w:firstLineChars="200" w:firstLine="480"/>
        <w:jc w:val="left"/>
        <w:rPr>
          <w:rFonts w:eastAsiaTheme="minorEastAsia"/>
          <w:sz w:val="24"/>
        </w:rPr>
      </w:pPr>
      <w:r>
        <w:rPr>
          <w:rFonts w:eastAsiaTheme="minorEastAsia"/>
          <w:sz w:val="24"/>
        </w:rPr>
        <w:t>（三）对研修班学员定期举行文献分享、小组讨论、专家讲座等学术性活动，严格考核研修班学员的出勤率。</w:t>
      </w:r>
    </w:p>
    <w:p w:rsidR="001C4990" w:rsidRDefault="001C4990" w:rsidP="001C4990">
      <w:pPr>
        <w:spacing w:line="360" w:lineRule="auto"/>
        <w:ind w:firstLineChars="200" w:firstLine="480"/>
        <w:jc w:val="left"/>
        <w:rPr>
          <w:rFonts w:eastAsiaTheme="minorEastAsia"/>
          <w:sz w:val="24"/>
        </w:rPr>
      </w:pPr>
      <w:r>
        <w:rPr>
          <w:rFonts w:eastAsiaTheme="minorEastAsia"/>
          <w:sz w:val="24"/>
        </w:rPr>
        <w:t>（四）研修班将实行双班主任负责制度，定期以简报形式向国家安全监管总局和</w:t>
      </w:r>
      <w:proofErr w:type="gramStart"/>
      <w:r>
        <w:rPr>
          <w:rFonts w:eastAsiaTheme="minorEastAsia"/>
          <w:sz w:val="24"/>
        </w:rPr>
        <w:t>派出央企汇报</w:t>
      </w:r>
      <w:proofErr w:type="gramEnd"/>
      <w:r>
        <w:rPr>
          <w:rFonts w:eastAsiaTheme="minorEastAsia"/>
          <w:sz w:val="24"/>
        </w:rPr>
        <w:t>研修班的学习和生活情况。</w:t>
      </w:r>
    </w:p>
    <w:p w:rsidR="006824F5" w:rsidRPr="001C4990" w:rsidRDefault="006824F5"/>
    <w:sectPr w:rsidR="006824F5" w:rsidRPr="001C49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D6A" w:rsidRDefault="002A1D6A" w:rsidP="001C4990">
      <w:r>
        <w:separator/>
      </w:r>
    </w:p>
  </w:endnote>
  <w:endnote w:type="continuationSeparator" w:id="0">
    <w:p w:rsidR="002A1D6A" w:rsidRDefault="002A1D6A" w:rsidP="001C4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D6A" w:rsidRDefault="002A1D6A" w:rsidP="001C4990">
      <w:r>
        <w:separator/>
      </w:r>
    </w:p>
  </w:footnote>
  <w:footnote w:type="continuationSeparator" w:id="0">
    <w:p w:rsidR="002A1D6A" w:rsidRDefault="002A1D6A" w:rsidP="001C49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27406"/>
    <w:multiLevelType w:val="multilevel"/>
    <w:tmpl w:val="10D27406"/>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EBC"/>
    <w:rsid w:val="001C4990"/>
    <w:rsid w:val="002A1D6A"/>
    <w:rsid w:val="00426EBC"/>
    <w:rsid w:val="00682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99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49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4990"/>
    <w:rPr>
      <w:sz w:val="18"/>
      <w:szCs w:val="18"/>
    </w:rPr>
  </w:style>
  <w:style w:type="paragraph" w:styleId="a4">
    <w:name w:val="footer"/>
    <w:basedOn w:val="a"/>
    <w:link w:val="Char0"/>
    <w:uiPriority w:val="99"/>
    <w:unhideWhenUsed/>
    <w:rsid w:val="001C4990"/>
    <w:pPr>
      <w:tabs>
        <w:tab w:val="center" w:pos="4153"/>
        <w:tab w:val="right" w:pos="8306"/>
      </w:tabs>
      <w:snapToGrid w:val="0"/>
      <w:jc w:val="left"/>
    </w:pPr>
    <w:rPr>
      <w:sz w:val="18"/>
      <w:szCs w:val="18"/>
    </w:rPr>
  </w:style>
  <w:style w:type="character" w:customStyle="1" w:styleId="Char0">
    <w:name w:val="页脚 Char"/>
    <w:basedOn w:val="a0"/>
    <w:link w:val="a4"/>
    <w:uiPriority w:val="99"/>
    <w:rsid w:val="001C4990"/>
    <w:rPr>
      <w:sz w:val="18"/>
      <w:szCs w:val="18"/>
    </w:rPr>
  </w:style>
  <w:style w:type="table" w:styleId="a5">
    <w:name w:val="Table Grid"/>
    <w:basedOn w:val="a1"/>
    <w:uiPriority w:val="59"/>
    <w:qFormat/>
    <w:rsid w:val="001C499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C499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99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49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4990"/>
    <w:rPr>
      <w:sz w:val="18"/>
      <w:szCs w:val="18"/>
    </w:rPr>
  </w:style>
  <w:style w:type="paragraph" w:styleId="a4">
    <w:name w:val="footer"/>
    <w:basedOn w:val="a"/>
    <w:link w:val="Char0"/>
    <w:uiPriority w:val="99"/>
    <w:unhideWhenUsed/>
    <w:rsid w:val="001C4990"/>
    <w:pPr>
      <w:tabs>
        <w:tab w:val="center" w:pos="4153"/>
        <w:tab w:val="right" w:pos="8306"/>
      </w:tabs>
      <w:snapToGrid w:val="0"/>
      <w:jc w:val="left"/>
    </w:pPr>
    <w:rPr>
      <w:sz w:val="18"/>
      <w:szCs w:val="18"/>
    </w:rPr>
  </w:style>
  <w:style w:type="character" w:customStyle="1" w:styleId="Char0">
    <w:name w:val="页脚 Char"/>
    <w:basedOn w:val="a0"/>
    <w:link w:val="a4"/>
    <w:uiPriority w:val="99"/>
    <w:rsid w:val="001C4990"/>
    <w:rPr>
      <w:sz w:val="18"/>
      <w:szCs w:val="18"/>
    </w:rPr>
  </w:style>
  <w:style w:type="table" w:styleId="a5">
    <w:name w:val="Table Grid"/>
    <w:basedOn w:val="a1"/>
    <w:uiPriority w:val="59"/>
    <w:qFormat/>
    <w:rsid w:val="001C499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C499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253</Words>
  <Characters>1443</Characters>
  <Application>Microsoft Office Word</Application>
  <DocSecurity>0</DocSecurity>
  <Lines>12</Lines>
  <Paragraphs>3</Paragraphs>
  <ScaleCrop>false</ScaleCrop>
  <Company/>
  <LinksUpToDate>false</LinksUpToDate>
  <CharactersWithSpaces>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2017-12-13T02:43:00Z</dcterms:created>
  <dcterms:modified xsi:type="dcterms:W3CDTF">2017-12-13T02:43:00Z</dcterms:modified>
</cp:coreProperties>
</file>